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36657158" w:rsidR="001A53D6" w:rsidRPr="00563B90" w:rsidRDefault="00C335A5"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JOCR-2939</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676EE40D" w:rsidR="003069E0" w:rsidRPr="00A77614" w:rsidRDefault="008623C5" w:rsidP="006C4A07">
            <w:pPr>
              <w:autoSpaceDE w:val="0"/>
              <w:autoSpaceDN w:val="0"/>
              <w:adjustRightInd w:val="0"/>
              <w:spacing w:after="0" w:line="360" w:lineRule="auto"/>
              <w:rPr>
                <w:rFonts w:ascii="Times New Roman" w:hAnsi="Times New Roman" w:cs="Times New Roman"/>
                <w:b/>
                <w:bCs/>
                <w:color w:val="000000" w:themeColor="text1"/>
                <w:lang w:val="en-GB"/>
              </w:rPr>
            </w:pPr>
            <w:r w:rsidRPr="008623C5">
              <w:rPr>
                <w:rFonts w:ascii="Times New Roman" w:hAnsi="Times New Roman" w:cs="Times New Roman"/>
                <w:b/>
                <w:bCs/>
                <w:color w:val="000000" w:themeColor="text1"/>
                <w:lang w:val="en-GB"/>
              </w:rPr>
              <w:tab/>
            </w:r>
            <w:r w:rsidR="00C335A5">
              <w:rPr>
                <w:rFonts w:ascii="Times New Roman" w:hAnsi="Times New Roman" w:cs="Times New Roman"/>
                <w:b/>
                <w:bCs/>
                <w:color w:val="000000" w:themeColor="text1"/>
                <w:lang w:val="en-GB"/>
              </w:rPr>
              <w:t xml:space="preserve">       </w:t>
            </w:r>
            <w:r w:rsidR="00C335A5" w:rsidRPr="00C335A5">
              <w:rPr>
                <w:rFonts w:ascii="Times New Roman" w:hAnsi="Times New Roman" w:cs="Times New Roman"/>
                <w:b/>
                <w:bCs/>
                <w:color w:val="000000" w:themeColor="text1"/>
                <w:lang w:val="en-GB"/>
              </w:rPr>
              <w:t>Sarin Aditya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E4D6D9A" w14:textId="6007CEA4" w:rsidR="005C355A" w:rsidRDefault="00E9204E" w:rsidP="00287D0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C335A5" w:rsidRPr="00C335A5">
              <w:rPr>
                <w:rFonts w:ascii="Times New Roman" w:eastAsia="Times New Roman" w:hAnsi="Times New Roman" w:cs="Times New Roman"/>
                <w:b/>
                <w:bCs/>
                <w:color w:val="000000" w:themeColor="text1"/>
                <w:shd w:val="clear" w:color="auto" w:fill="FFFFFF"/>
                <w:lang w:val="en-IN" w:eastAsia="en-IN"/>
              </w:rPr>
              <w:tab/>
              <w:t>Reticulocyte hemoglobin equivalent as an early predictor of iron deficiency ane</w:t>
            </w:r>
            <w:bookmarkStart w:id="0" w:name="_GoBack"/>
            <w:bookmarkEnd w:id="0"/>
            <w:r w:rsidR="00C335A5" w:rsidRPr="00C335A5">
              <w:rPr>
                <w:rFonts w:ascii="Times New Roman" w:eastAsia="Times New Roman" w:hAnsi="Times New Roman" w:cs="Times New Roman"/>
                <w:b/>
                <w:bCs/>
                <w:color w:val="000000" w:themeColor="text1"/>
                <w:shd w:val="clear" w:color="auto" w:fill="FFFFFF"/>
                <w:lang w:val="en-IN" w:eastAsia="en-IN"/>
              </w:rPr>
              <w:t>mia in cancer patients</w:t>
            </w:r>
          </w:p>
          <w:p w14:paraId="6E2C0695" w14:textId="14E85C8E" w:rsidR="000228C5" w:rsidRDefault="00140858" w:rsidP="005A61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0228C5" w:rsidRPr="000228C5">
              <w:rPr>
                <w:rFonts w:ascii="Times New Roman" w:eastAsia="Times New Roman" w:hAnsi="Times New Roman" w:cs="Times New Roman"/>
                <w:bCs/>
                <w:color w:val="000000" w:themeColor="text1"/>
                <w:shd w:val="clear" w:color="auto" w:fill="FFFFFF"/>
                <w:lang w:val="en-IN" w:eastAsia="en-IN"/>
              </w:rPr>
              <w:t xml:space="preserve">The authors have ventured into a study that is possible to carry out in few laboratories. The intuition of seeing the amount of </w:t>
            </w:r>
            <w:r w:rsidR="008F48BA" w:rsidRPr="000228C5">
              <w:rPr>
                <w:rFonts w:ascii="Times New Roman" w:eastAsia="Times New Roman" w:hAnsi="Times New Roman" w:cs="Times New Roman"/>
                <w:bCs/>
                <w:color w:val="000000" w:themeColor="text1"/>
                <w:shd w:val="clear" w:color="auto" w:fill="FFFFFF"/>
                <w:lang w:val="en-IN" w:eastAsia="en-IN"/>
              </w:rPr>
              <w:t>haemoglobin</w:t>
            </w:r>
            <w:r w:rsidR="000228C5" w:rsidRPr="000228C5">
              <w:rPr>
                <w:rFonts w:ascii="Times New Roman" w:eastAsia="Times New Roman" w:hAnsi="Times New Roman" w:cs="Times New Roman"/>
                <w:bCs/>
                <w:color w:val="000000" w:themeColor="text1"/>
                <w:shd w:val="clear" w:color="auto" w:fill="FFFFFF"/>
                <w:lang w:val="en-IN" w:eastAsia="en-IN"/>
              </w:rPr>
              <w:t xml:space="preserve"> in reticulocytes is quite recent. In fact, the first studies date back to 2014. It can be a predictive test and perhaps more useful for patients receiving </w:t>
            </w:r>
            <w:r w:rsidR="008F48BA" w:rsidRPr="000228C5">
              <w:rPr>
                <w:rFonts w:ascii="Times New Roman" w:eastAsia="Times New Roman" w:hAnsi="Times New Roman" w:cs="Times New Roman"/>
                <w:bCs/>
                <w:color w:val="000000" w:themeColor="text1"/>
                <w:shd w:val="clear" w:color="auto" w:fill="FFFFFF"/>
                <w:lang w:val="en-IN" w:eastAsia="en-IN"/>
              </w:rPr>
              <w:t>chemotherapy</w:t>
            </w:r>
            <w:r w:rsidR="000228C5" w:rsidRPr="000228C5">
              <w:rPr>
                <w:rFonts w:ascii="Times New Roman" w:eastAsia="Times New Roman" w:hAnsi="Times New Roman" w:cs="Times New Roman"/>
                <w:bCs/>
                <w:color w:val="000000" w:themeColor="text1"/>
                <w:shd w:val="clear" w:color="auto" w:fill="FFFFFF"/>
                <w:lang w:val="en-IN" w:eastAsia="en-IN"/>
              </w:rPr>
              <w:t xml:space="preserve"> than for those with already confirmed cancer. </w:t>
            </w:r>
          </w:p>
          <w:p w14:paraId="16EAF7FC" w14:textId="37F4347F" w:rsidR="002A0E92" w:rsidRDefault="002A0E92" w:rsidP="005A61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0E92">
              <w:rPr>
                <w:rFonts w:ascii="Times New Roman" w:eastAsia="Times New Roman" w:hAnsi="Times New Roman" w:cs="Times New Roman"/>
                <w:bCs/>
                <w:color w:val="000000" w:themeColor="text1"/>
                <w:shd w:val="clear" w:color="auto" w:fill="FFFFFF"/>
                <w:lang w:val="en-IN" w:eastAsia="en-IN"/>
              </w:rPr>
              <w:t xml:space="preserve">The article addressed the main topics relevant to the evaluation of iron deficiency in cancer patients in the daily practice, and provides a proposal. The article adheres to the appropriate guidelines and the study </w:t>
            </w:r>
            <w:r w:rsidR="008F48BA" w:rsidRPr="002A0E92">
              <w:rPr>
                <w:rFonts w:ascii="Times New Roman" w:eastAsia="Times New Roman" w:hAnsi="Times New Roman" w:cs="Times New Roman"/>
                <w:bCs/>
                <w:color w:val="000000" w:themeColor="text1"/>
                <w:shd w:val="clear" w:color="auto" w:fill="FFFFFF"/>
                <w:lang w:val="en-IN" w:eastAsia="en-IN"/>
              </w:rPr>
              <w:t>fulfils</w:t>
            </w:r>
            <w:r w:rsidRPr="002A0E92">
              <w:rPr>
                <w:rFonts w:ascii="Times New Roman" w:eastAsia="Times New Roman" w:hAnsi="Times New Roman" w:cs="Times New Roman"/>
                <w:bCs/>
                <w:color w:val="000000" w:themeColor="text1"/>
                <w:shd w:val="clear" w:color="auto" w:fill="FFFFFF"/>
                <w:lang w:val="en-IN" w:eastAsia="en-IN"/>
              </w:rPr>
              <w:t xml:space="preserve"> community standards.</w:t>
            </w:r>
          </w:p>
          <w:p w14:paraId="1F72D9C5" w14:textId="1546B894" w:rsidR="002A0E92" w:rsidRDefault="00F27AFF" w:rsidP="005A61C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820CBB">
              <w:rPr>
                <w:rFonts w:ascii="Times New Roman" w:eastAsia="Times New Roman" w:hAnsi="Times New Roman" w:cs="Times New Roman"/>
                <w:bCs/>
                <w:color w:val="000000" w:themeColor="text1"/>
                <w:shd w:val="clear" w:color="auto" w:fill="FFFFFF"/>
                <w:lang w:val="en-IN" w:eastAsia="en-IN"/>
              </w:rPr>
              <w:t xml:space="preserve"> </w:t>
            </w:r>
            <w:r w:rsidR="000228C5" w:rsidRPr="000228C5">
              <w:rPr>
                <w:rFonts w:ascii="Times New Roman" w:eastAsia="Times New Roman" w:hAnsi="Times New Roman" w:cs="Times New Roman"/>
                <w:bCs/>
                <w:color w:val="000000" w:themeColor="text1"/>
                <w:shd w:val="clear" w:color="auto" w:fill="FFFFFF"/>
                <w:lang w:val="en-IN" w:eastAsia="en-IN"/>
              </w:rPr>
              <w:t>The premises that prepare the dissertation prepare the reader to understand the concepts that scholars have set themselves as end-points</w:t>
            </w:r>
            <w:r w:rsidR="008F48BA">
              <w:rPr>
                <w:rFonts w:ascii="Times New Roman" w:eastAsia="Times New Roman" w:hAnsi="Times New Roman" w:cs="Times New Roman"/>
                <w:bCs/>
                <w:color w:val="000000" w:themeColor="text1"/>
                <w:shd w:val="clear" w:color="auto" w:fill="FFFFFF"/>
                <w:lang w:val="en-IN" w:eastAsia="en-IN"/>
              </w:rPr>
              <w:t xml:space="preserve">. </w:t>
            </w:r>
            <w:r w:rsidR="002A0E92" w:rsidRPr="002A0E92">
              <w:rPr>
                <w:rFonts w:ascii="Times New Roman" w:eastAsia="Times New Roman" w:hAnsi="Times New Roman" w:cs="Times New Roman"/>
                <w:bCs/>
                <w:color w:val="000000" w:themeColor="text1"/>
                <w:shd w:val="clear" w:color="auto" w:fill="FFFFFF"/>
                <w:lang w:val="en-IN" w:eastAsia="en-IN"/>
              </w:rPr>
              <w:t>The goal of the study (i.e., rapid assessment, simplicity, and cost-effectiveness in comparison with daily practice) should be better defined. It is also required to characterize, in this part too, the study as cross-sectional and observational.</w:t>
            </w:r>
          </w:p>
          <w:p w14:paraId="5330EDFE" w14:textId="56D533EB" w:rsidR="002A0E92" w:rsidRDefault="00573572" w:rsidP="002B2AE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00207176" w:rsidRPr="002A0E92">
              <w:rPr>
                <w:rFonts w:ascii="Times New Roman" w:eastAsia="Times New Roman" w:hAnsi="Times New Roman" w:cs="Times New Roman"/>
                <w:bCs/>
                <w:color w:val="000000" w:themeColor="text1"/>
                <w:shd w:val="clear" w:color="auto" w:fill="FFFFFF"/>
                <w:lang w:val="en-IN" w:eastAsia="en-IN"/>
              </w:rPr>
              <w:t>Mythology</w:t>
            </w:r>
            <w:r w:rsidR="002A0E92" w:rsidRPr="002A0E92">
              <w:rPr>
                <w:rFonts w:ascii="Times New Roman" w:eastAsia="Times New Roman" w:hAnsi="Times New Roman" w:cs="Times New Roman"/>
                <w:bCs/>
                <w:color w:val="000000" w:themeColor="text1"/>
                <w:shd w:val="clear" w:color="auto" w:fill="FFFFFF"/>
                <w:lang w:val="en-IN" w:eastAsia="en-IN"/>
              </w:rPr>
              <w:t xml:space="preserve"> of statistical analysis is well-described. The abbreviation PRBC (line 71) must be defined. Parentheses for values in lines 83 &amp; 84 are not necessary.</w:t>
            </w:r>
          </w:p>
          <w:p w14:paraId="73146B0D" w14:textId="7066B891" w:rsidR="002A0E92" w:rsidRDefault="000228C5" w:rsidP="002B2AE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Results:</w:t>
            </w:r>
            <w:r w:rsidR="00FF4793">
              <w:rPr>
                <w:rFonts w:ascii="Times New Roman" w:eastAsia="Times New Roman" w:hAnsi="Times New Roman" w:cs="Times New Roman"/>
                <w:bCs/>
                <w:color w:val="000000" w:themeColor="text1"/>
                <w:shd w:val="clear" w:color="auto" w:fill="FFFFFF"/>
                <w:lang w:val="en-IN" w:eastAsia="en-IN"/>
              </w:rPr>
              <w:t xml:space="preserve"> T</w:t>
            </w:r>
            <w:r w:rsidR="002A0E92" w:rsidRPr="002A0E92">
              <w:rPr>
                <w:rFonts w:ascii="Times New Roman" w:eastAsia="Times New Roman" w:hAnsi="Times New Roman" w:cs="Times New Roman"/>
                <w:bCs/>
                <w:color w:val="000000" w:themeColor="text1"/>
                <w:shd w:val="clear" w:color="auto" w:fill="FFFFFF"/>
                <w:lang w:val="en-IN" w:eastAsia="en-IN"/>
              </w:rPr>
              <w:t>he results obtained represent an original research. As the subpopulation in research is large, the conclusions can be safe. Should a brief comparative notice about the use of the two limits in evaluating iron deficiency in terms of cost analysis be provided? Does the proposed limit only delay initiation of iron therapy in some cases?</w:t>
            </w:r>
          </w:p>
          <w:p w14:paraId="031109D0" w14:textId="0E4678F4" w:rsidR="002A0E92" w:rsidRDefault="002B2AE4" w:rsidP="002B2AE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B2AE4">
              <w:rPr>
                <w:rFonts w:ascii="Times New Roman" w:eastAsia="Times New Roman" w:hAnsi="Times New Roman" w:cs="Times New Roman"/>
                <w:bCs/>
                <w:color w:val="000000" w:themeColor="text1"/>
                <w:shd w:val="clear" w:color="auto" w:fill="FFFFFF"/>
                <w:lang w:val="en-IN" w:eastAsia="en-IN"/>
              </w:rPr>
              <w:t xml:space="preserve">Discussion: </w:t>
            </w:r>
            <w:r w:rsidR="000228C5" w:rsidRPr="000228C5">
              <w:rPr>
                <w:rFonts w:ascii="Times New Roman" w:eastAsia="Times New Roman" w:hAnsi="Times New Roman" w:cs="Times New Roman"/>
                <w:bCs/>
                <w:color w:val="000000" w:themeColor="text1"/>
                <w:shd w:val="clear" w:color="auto" w:fill="FFFFFF"/>
                <w:lang w:val="en-IN" w:eastAsia="en-IN"/>
              </w:rPr>
              <w:t xml:space="preserve">The discussion arises from the premises and the results, it is not obvious, but further studies can enhance it. </w:t>
            </w:r>
          </w:p>
          <w:p w14:paraId="387941E6" w14:textId="2FC7256B" w:rsidR="0049531E" w:rsidRPr="003810EE" w:rsidRDefault="00DE24E6" w:rsidP="00963982">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C707D" w14:textId="77777777" w:rsidR="00CC06F7" w:rsidRDefault="00CC06F7" w:rsidP="00F65AB0">
      <w:pPr>
        <w:spacing w:after="0" w:line="240" w:lineRule="auto"/>
      </w:pPr>
      <w:r>
        <w:separator/>
      </w:r>
    </w:p>
  </w:endnote>
  <w:endnote w:type="continuationSeparator" w:id="0">
    <w:p w14:paraId="69A88DB1" w14:textId="77777777" w:rsidR="00CC06F7" w:rsidRDefault="00CC06F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130CF" w14:textId="77777777" w:rsidR="00CC06F7" w:rsidRDefault="00CC06F7" w:rsidP="00F65AB0">
      <w:pPr>
        <w:spacing w:after="0" w:line="240" w:lineRule="auto"/>
      </w:pPr>
      <w:r>
        <w:separator/>
      </w:r>
    </w:p>
  </w:footnote>
  <w:footnote w:type="continuationSeparator" w:id="0">
    <w:p w14:paraId="1526F3C1" w14:textId="77777777" w:rsidR="00CC06F7" w:rsidRDefault="00CC06F7"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6A4C"/>
    <w:rsid w:val="000074BB"/>
    <w:rsid w:val="00007CC7"/>
    <w:rsid w:val="00014C71"/>
    <w:rsid w:val="00017665"/>
    <w:rsid w:val="00020171"/>
    <w:rsid w:val="0002259B"/>
    <w:rsid w:val="00022642"/>
    <w:rsid w:val="000228C5"/>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0F5CED"/>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17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14F"/>
    <w:rsid w:val="00291313"/>
    <w:rsid w:val="002930B6"/>
    <w:rsid w:val="002A0E92"/>
    <w:rsid w:val="002A61F1"/>
    <w:rsid w:val="002A7451"/>
    <w:rsid w:val="002B1D57"/>
    <w:rsid w:val="002B2AE4"/>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B5520"/>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3572"/>
    <w:rsid w:val="00574CBB"/>
    <w:rsid w:val="00575594"/>
    <w:rsid w:val="00576D4A"/>
    <w:rsid w:val="00581FF0"/>
    <w:rsid w:val="0058441A"/>
    <w:rsid w:val="00584D8C"/>
    <w:rsid w:val="005921AE"/>
    <w:rsid w:val="00592E03"/>
    <w:rsid w:val="005941DA"/>
    <w:rsid w:val="005970DA"/>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82931"/>
    <w:rsid w:val="00886D71"/>
    <w:rsid w:val="0089163A"/>
    <w:rsid w:val="008A3276"/>
    <w:rsid w:val="008B05EE"/>
    <w:rsid w:val="008B4488"/>
    <w:rsid w:val="008B5563"/>
    <w:rsid w:val="008B6FAA"/>
    <w:rsid w:val="008D03F1"/>
    <w:rsid w:val="008D3533"/>
    <w:rsid w:val="008E1089"/>
    <w:rsid w:val="008E22AF"/>
    <w:rsid w:val="008E492C"/>
    <w:rsid w:val="008F48BA"/>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5A0B"/>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35A5"/>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1694"/>
    <w:rsid w:val="00C96252"/>
    <w:rsid w:val="00CA6140"/>
    <w:rsid w:val="00CB012E"/>
    <w:rsid w:val="00CB53D9"/>
    <w:rsid w:val="00CB75F8"/>
    <w:rsid w:val="00CC0027"/>
    <w:rsid w:val="00CC06F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26303"/>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34F89"/>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4793"/>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8149241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18842493">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2471463">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47952913">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61041197">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113793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128190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970907">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70451">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3894294">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2023-05-23T06:44:00Z</dcterms:created>
  <dcterms:modified xsi:type="dcterms:W3CDTF">2023-05-23T06:44:00Z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